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DBC" w:rsidRPr="00745DBC" w:rsidRDefault="00745DBC" w:rsidP="00745DBC">
      <w:pPr>
        <w:jc w:val="center"/>
        <w:rPr>
          <w:sz w:val="44"/>
          <w:szCs w:val="44"/>
        </w:rPr>
      </w:pPr>
      <w:bookmarkStart w:id="0" w:name="_GoBack"/>
      <w:bookmarkEnd w:id="0"/>
      <w:permStart w:id="897005839" w:edGrp="everyone"/>
      <w:permEnd w:id="897005839"/>
      <w:r w:rsidRPr="00745DBC">
        <w:rPr>
          <w:sz w:val="44"/>
          <w:szCs w:val="44"/>
        </w:rPr>
        <w:t>HUD TRANSITIONS HOUSING QUALITY STANDARDS TO NSPIRE STANDARDS</w:t>
      </w:r>
    </w:p>
    <w:p w:rsidR="00CA3D4D" w:rsidRPr="00745DBC" w:rsidRDefault="00CA3D4D" w:rsidP="00745DBC">
      <w:pPr>
        <w:rPr>
          <w:sz w:val="36"/>
          <w:szCs w:val="36"/>
        </w:rPr>
      </w:pPr>
      <w:r>
        <w:t>Effective October 1, 2024, all rental units assisted by housing choice voucher funds will be inspected using the new NSPIRE (National Standards for the Physical Inspection of Real Estate) standards. NSPIRE is the new health and safety inspection model for housing owned, insured, or subsidized by the U.S. Department of Housing and Urban Development (HUD).</w:t>
      </w:r>
    </w:p>
    <w:p w:rsidR="00CA3D4D" w:rsidRDefault="00CA3D4D">
      <w:r>
        <w:t xml:space="preserve">HUD has made this </w:t>
      </w:r>
      <w:r w:rsidR="0016252A">
        <w:t>transition</w:t>
      </w:r>
      <w:r>
        <w:t xml:space="preserve"> to establish consistency ensuring all </w:t>
      </w:r>
      <w:r w:rsidR="00D710E0">
        <w:t>units, which receive HUD assistance,</w:t>
      </w:r>
      <w:r>
        <w:t xml:space="preserve"> are inspected utilizing the same standards. In the past there were two different standards applied depending </w:t>
      </w:r>
      <w:r w:rsidR="000E3522">
        <w:t>on the type of assistance, UPCS (Uniform Physical Condition Standards) and HQS (Housing Quality Standards).</w:t>
      </w:r>
    </w:p>
    <w:p w:rsidR="000E3522" w:rsidRDefault="000E3522">
      <w:r>
        <w:t>Below is a list of the major changes in the standards.</w:t>
      </w:r>
    </w:p>
    <w:p w:rsidR="000E3522" w:rsidRDefault="000E3522" w:rsidP="000E3522">
      <w:pPr>
        <w:pStyle w:val="ListParagraph"/>
        <w:numPr>
          <w:ilvl w:val="0"/>
          <w:numId w:val="1"/>
        </w:numPr>
      </w:pPr>
      <w:r>
        <w:t xml:space="preserve">Addressing life-threatening and severe deficiencies within 24 hours. </w:t>
      </w:r>
    </w:p>
    <w:p w:rsidR="000E3522" w:rsidRDefault="000E3522" w:rsidP="000E3522">
      <w:pPr>
        <w:pStyle w:val="ListParagraph"/>
        <w:numPr>
          <w:ilvl w:val="0"/>
          <w:numId w:val="1"/>
        </w:numPr>
      </w:pPr>
      <w:r>
        <w:t>Establishes three inspectable areas:</w:t>
      </w:r>
    </w:p>
    <w:p w:rsidR="000E3522" w:rsidRDefault="000E3522" w:rsidP="000E3522">
      <w:pPr>
        <w:pStyle w:val="ListParagraph"/>
        <w:numPr>
          <w:ilvl w:val="1"/>
          <w:numId w:val="1"/>
        </w:numPr>
      </w:pPr>
      <w:r>
        <w:t>Unit: The interior components of an individual dwelling, where the residents lives.</w:t>
      </w:r>
    </w:p>
    <w:p w:rsidR="000E3522" w:rsidRDefault="000E3522" w:rsidP="000E3522">
      <w:pPr>
        <w:pStyle w:val="ListParagraph"/>
        <w:numPr>
          <w:ilvl w:val="1"/>
          <w:numId w:val="1"/>
        </w:numPr>
      </w:pPr>
      <w:r>
        <w:t xml:space="preserve">INSIDE: Refers to the common areas </w:t>
      </w:r>
      <w:r w:rsidR="007514B9">
        <w:t xml:space="preserve">and building systems within the building interior and are not inside a unit. This could include laundry facilities, workout rooms, and so on. </w:t>
      </w:r>
    </w:p>
    <w:p w:rsidR="007514B9" w:rsidRDefault="007514B9" w:rsidP="000E3522">
      <w:pPr>
        <w:pStyle w:val="ListParagraph"/>
        <w:numPr>
          <w:ilvl w:val="1"/>
          <w:numId w:val="1"/>
        </w:numPr>
      </w:pPr>
      <w:r>
        <w:t>OUTSIDE: Refers to the building site, building exterior components, and any building systems located outside of the building or unit. This includes things like playgrounds, sidewalks, and air-conditioning units.</w:t>
      </w:r>
    </w:p>
    <w:p w:rsidR="000846C2" w:rsidRDefault="00FF7A18" w:rsidP="007514B9">
      <w:pPr>
        <w:pStyle w:val="ListParagraph"/>
        <w:numPr>
          <w:ilvl w:val="0"/>
          <w:numId w:val="1"/>
        </w:numPr>
      </w:pPr>
      <w:r>
        <w:t xml:space="preserve">Making the Smoke Alarm </w:t>
      </w:r>
      <w:r w:rsidR="000846C2">
        <w:t xml:space="preserve">standard consistent with the National Fire Protection Association (NFPA) Standard 72 – National Fire Alarm and Signaling Code. </w:t>
      </w:r>
    </w:p>
    <w:p w:rsidR="000846C2" w:rsidRDefault="000846C2" w:rsidP="007514B9">
      <w:pPr>
        <w:pStyle w:val="ListParagraph"/>
        <w:numPr>
          <w:ilvl w:val="0"/>
          <w:numId w:val="1"/>
        </w:numPr>
      </w:pPr>
      <w:r>
        <w:t xml:space="preserve">Creating a Fire Door Standard detailing the specific function, operability, and structural integrity requirements for fire doors. </w:t>
      </w:r>
    </w:p>
    <w:p w:rsidR="00107FF3" w:rsidRDefault="000846C2" w:rsidP="007514B9">
      <w:pPr>
        <w:pStyle w:val="ListParagraph"/>
        <w:numPr>
          <w:ilvl w:val="0"/>
          <w:numId w:val="1"/>
        </w:numPr>
      </w:pPr>
      <w:r>
        <w:t xml:space="preserve">Setting minimum temperature requirements during the colder months and </w:t>
      </w:r>
      <w:r w:rsidR="00107FF3">
        <w:t xml:space="preserve">requiring a permanent heating source. </w:t>
      </w:r>
    </w:p>
    <w:p w:rsidR="00107FF3" w:rsidRDefault="00107FF3" w:rsidP="007514B9">
      <w:pPr>
        <w:pStyle w:val="ListParagraph"/>
        <w:numPr>
          <w:ilvl w:val="0"/>
          <w:numId w:val="1"/>
        </w:numPr>
      </w:pPr>
      <w:r>
        <w:t xml:space="preserve">Including criteria for when guardrails and handrails are required. </w:t>
      </w:r>
    </w:p>
    <w:p w:rsidR="007514B9" w:rsidRDefault="00107FF3" w:rsidP="007514B9">
      <w:pPr>
        <w:pStyle w:val="ListParagraph"/>
        <w:numPr>
          <w:ilvl w:val="0"/>
          <w:numId w:val="1"/>
        </w:numPr>
      </w:pPr>
      <w:r>
        <w:t>Establishing infestation deficiencies based on discrete levels of observations with clarification on which pests are included in this standard.</w:t>
      </w:r>
      <w:r w:rsidR="000846C2">
        <w:t xml:space="preserve"> </w:t>
      </w:r>
    </w:p>
    <w:p w:rsidR="00107FF3" w:rsidRDefault="00107FF3" w:rsidP="007514B9">
      <w:pPr>
        <w:pStyle w:val="ListParagraph"/>
        <w:numPr>
          <w:ilvl w:val="0"/>
          <w:numId w:val="1"/>
        </w:numPr>
      </w:pPr>
      <w:r>
        <w:t xml:space="preserve">Developing deficiencies based on observed mold conditions or elevated moisture levels measured using a moisture meter. </w:t>
      </w:r>
    </w:p>
    <w:p w:rsidR="00107FF3" w:rsidRDefault="00107FF3" w:rsidP="007514B9">
      <w:pPr>
        <w:pStyle w:val="ListParagraph"/>
        <w:numPr>
          <w:ilvl w:val="0"/>
          <w:numId w:val="1"/>
        </w:numPr>
      </w:pPr>
      <w:r>
        <w:t>Specifying Ground-Fault Circuit Interrupter (GFCI) protection as a requirement.</w:t>
      </w:r>
    </w:p>
    <w:p w:rsidR="00107FF3" w:rsidRDefault="00107FF3" w:rsidP="007514B9">
      <w:pPr>
        <w:pStyle w:val="ListParagraph"/>
        <w:numPr>
          <w:ilvl w:val="0"/>
          <w:numId w:val="1"/>
        </w:numPr>
      </w:pPr>
      <w:r>
        <w:t xml:space="preserve">Including affirmative habitability requirements for bathrooms, kitchens, </w:t>
      </w:r>
      <w:r w:rsidR="0016252A">
        <w:t xml:space="preserve">and other rooms utilized by residents. </w:t>
      </w:r>
    </w:p>
    <w:p w:rsidR="002E1E07" w:rsidRDefault="0016252A" w:rsidP="00745DBC">
      <w:pPr>
        <w:ind w:left="360"/>
      </w:pPr>
      <w:r>
        <w:t xml:space="preserve">For details on each of the new NSPIRE standards, please visit: </w:t>
      </w:r>
      <w:hyperlink r:id="rId7" w:history="1">
        <w:r w:rsidRPr="0016252A">
          <w:rPr>
            <w:rStyle w:val="Hyperlink"/>
          </w:rPr>
          <w:t>https://www.hud.gov/program_offices/public_indian_housing/reac/nspire/standards</w:t>
        </w:r>
      </w:hyperlink>
      <w:r w:rsidR="002E1E07">
        <w:br w:type="page"/>
      </w:r>
    </w:p>
    <w:tbl>
      <w:tblPr>
        <w:tblStyle w:val="TableGrid"/>
        <w:tblpPr w:leftFromText="180" w:rightFromText="180" w:vertAnchor="page" w:horzAnchor="margin" w:tblpXSpec="center" w:tblpY="2896"/>
        <w:tblW w:w="0" w:type="auto"/>
        <w:tblLook w:val="04A0" w:firstRow="1" w:lastRow="0" w:firstColumn="1" w:lastColumn="0" w:noHBand="0" w:noVBand="1"/>
      </w:tblPr>
      <w:tblGrid>
        <w:gridCol w:w="8990"/>
      </w:tblGrid>
      <w:tr w:rsidR="002E1E07" w:rsidTr="00745DBC">
        <w:tc>
          <w:tcPr>
            <w:tcW w:w="8990" w:type="dxa"/>
            <w:shd w:val="clear" w:color="auto" w:fill="7030A0"/>
          </w:tcPr>
          <w:p w:rsidR="002E1E07" w:rsidRPr="00B70793" w:rsidRDefault="00E24A8C" w:rsidP="00745DBC">
            <w:pPr>
              <w:rPr>
                <w:b/>
                <w:color w:val="FFFFFF" w:themeColor="background1"/>
                <w:sz w:val="20"/>
                <w:szCs w:val="20"/>
              </w:rPr>
            </w:pPr>
            <w:r w:rsidRPr="00B70793">
              <w:rPr>
                <w:b/>
                <w:color w:val="FFFFFF" w:themeColor="background1"/>
                <w:sz w:val="20"/>
                <w:szCs w:val="20"/>
              </w:rPr>
              <w:lastRenderedPageBreak/>
              <w:t>ITEMS WHICH REQUIRE A 24-HOUR CORRECTION</w:t>
            </w:r>
          </w:p>
        </w:tc>
      </w:tr>
      <w:tr w:rsidR="002E1E07" w:rsidTr="00745DBC">
        <w:tc>
          <w:tcPr>
            <w:tcW w:w="8990" w:type="dxa"/>
          </w:tcPr>
          <w:p w:rsidR="002E1E07" w:rsidRPr="00B70793" w:rsidRDefault="009B5DA3" w:rsidP="00745DBC">
            <w:pPr>
              <w:pStyle w:val="ListParagraph"/>
              <w:numPr>
                <w:ilvl w:val="0"/>
                <w:numId w:val="2"/>
              </w:numPr>
              <w:rPr>
                <w:sz w:val="20"/>
                <w:szCs w:val="20"/>
              </w:rPr>
            </w:pPr>
            <w:r>
              <w:rPr>
                <w:sz w:val="20"/>
                <w:szCs w:val="20"/>
              </w:rPr>
              <w:t>Call for Aid Systems is</w:t>
            </w:r>
            <w:r w:rsidR="00F337AA" w:rsidRPr="00B70793">
              <w:rPr>
                <w:sz w:val="20"/>
                <w:szCs w:val="20"/>
              </w:rPr>
              <w:t xml:space="preserve"> present and does not work</w:t>
            </w:r>
            <w:r w:rsidR="00211B81" w:rsidRPr="00B70793">
              <w:rPr>
                <w:sz w:val="20"/>
                <w:szCs w:val="20"/>
              </w:rPr>
              <w:t>.</w:t>
            </w:r>
          </w:p>
        </w:tc>
      </w:tr>
      <w:tr w:rsidR="002E1E07" w:rsidTr="00745DBC">
        <w:tc>
          <w:tcPr>
            <w:tcW w:w="8990" w:type="dxa"/>
          </w:tcPr>
          <w:p w:rsidR="002E1E07" w:rsidRPr="00B70793" w:rsidRDefault="00F337AA" w:rsidP="00745DBC">
            <w:pPr>
              <w:pStyle w:val="ListParagraph"/>
              <w:numPr>
                <w:ilvl w:val="0"/>
                <w:numId w:val="2"/>
              </w:numPr>
              <w:rPr>
                <w:sz w:val="20"/>
                <w:szCs w:val="20"/>
              </w:rPr>
            </w:pPr>
            <w:r w:rsidRPr="00B70793">
              <w:rPr>
                <w:sz w:val="20"/>
                <w:szCs w:val="20"/>
              </w:rPr>
              <w:t>Carbon monoxide alarms not installed in all required locations</w:t>
            </w:r>
            <w:r w:rsidR="00211B81" w:rsidRPr="00B70793">
              <w:rPr>
                <w:sz w:val="20"/>
                <w:szCs w:val="20"/>
              </w:rPr>
              <w:t>.</w:t>
            </w:r>
          </w:p>
        </w:tc>
      </w:tr>
      <w:tr w:rsidR="002E1E07" w:rsidTr="00745DBC">
        <w:tc>
          <w:tcPr>
            <w:tcW w:w="8990" w:type="dxa"/>
          </w:tcPr>
          <w:p w:rsidR="002E1E07" w:rsidRPr="00B70793" w:rsidRDefault="00F337AA" w:rsidP="00745DBC">
            <w:pPr>
              <w:pStyle w:val="ListParagraph"/>
              <w:numPr>
                <w:ilvl w:val="0"/>
                <w:numId w:val="2"/>
              </w:numPr>
              <w:rPr>
                <w:sz w:val="20"/>
                <w:szCs w:val="20"/>
              </w:rPr>
            </w:pPr>
            <w:r w:rsidRPr="00B70793">
              <w:rPr>
                <w:sz w:val="20"/>
                <w:szCs w:val="20"/>
              </w:rPr>
              <w:t xml:space="preserve">Clothes dryer transition duct detached or missing, OR exhaust ventilation system has restricted airflow, OR transition duct is constructed of unsuitable material. </w:t>
            </w:r>
          </w:p>
        </w:tc>
      </w:tr>
      <w:tr w:rsidR="002E1E07" w:rsidTr="00745DBC">
        <w:tc>
          <w:tcPr>
            <w:tcW w:w="8990" w:type="dxa"/>
          </w:tcPr>
          <w:p w:rsidR="002E1E07" w:rsidRPr="00B70793" w:rsidRDefault="00F337AA" w:rsidP="00745DBC">
            <w:pPr>
              <w:pStyle w:val="ListParagraph"/>
              <w:numPr>
                <w:ilvl w:val="0"/>
                <w:numId w:val="2"/>
              </w:numPr>
              <w:rPr>
                <w:sz w:val="20"/>
                <w:szCs w:val="20"/>
              </w:rPr>
            </w:pPr>
            <w:r w:rsidRPr="00B70793">
              <w:rPr>
                <w:sz w:val="20"/>
                <w:szCs w:val="20"/>
              </w:rPr>
              <w:t xml:space="preserve">Electrical conductor is not enclosed or properly insulated (damaged sheathing, open port, missing knockout, missing outlet or switch cover, missing breaker or fuse, missing lightbulb or an opening or gap is present and measures greater than ¼ inch. </w:t>
            </w:r>
          </w:p>
        </w:tc>
      </w:tr>
      <w:tr w:rsidR="002E1E07" w:rsidTr="00745DBC">
        <w:tc>
          <w:tcPr>
            <w:tcW w:w="8990" w:type="dxa"/>
          </w:tcPr>
          <w:p w:rsidR="002E1E07" w:rsidRPr="00B70793" w:rsidRDefault="00211B81" w:rsidP="00745DBC">
            <w:pPr>
              <w:pStyle w:val="ListParagraph"/>
              <w:numPr>
                <w:ilvl w:val="0"/>
                <w:numId w:val="2"/>
              </w:numPr>
              <w:rPr>
                <w:sz w:val="20"/>
                <w:szCs w:val="20"/>
              </w:rPr>
            </w:pPr>
            <w:r w:rsidRPr="00B70793">
              <w:rPr>
                <w:sz w:val="20"/>
                <w:szCs w:val="20"/>
              </w:rPr>
              <w:t>Obstructed egress (must be minimum of 2 unobstructed means of egress to public way and 1 primary means from unit or inside of the building to the exit access.</w:t>
            </w:r>
          </w:p>
        </w:tc>
      </w:tr>
      <w:tr w:rsidR="002E1E07" w:rsidTr="00745DBC">
        <w:tc>
          <w:tcPr>
            <w:tcW w:w="8990" w:type="dxa"/>
          </w:tcPr>
          <w:p w:rsidR="002E1E07" w:rsidRPr="00B70793" w:rsidRDefault="00211B81" w:rsidP="00745DBC">
            <w:pPr>
              <w:pStyle w:val="ListParagraph"/>
              <w:numPr>
                <w:ilvl w:val="0"/>
                <w:numId w:val="2"/>
              </w:numPr>
              <w:rPr>
                <w:sz w:val="20"/>
                <w:szCs w:val="20"/>
              </w:rPr>
            </w:pPr>
            <w:r w:rsidRPr="00B70793">
              <w:rPr>
                <w:sz w:val="20"/>
                <w:szCs w:val="20"/>
              </w:rPr>
              <w:t>Electrical outlet or switch is damaged.</w:t>
            </w:r>
          </w:p>
        </w:tc>
      </w:tr>
      <w:tr w:rsidR="002E1E07" w:rsidTr="00745DBC">
        <w:tc>
          <w:tcPr>
            <w:tcW w:w="8990" w:type="dxa"/>
          </w:tcPr>
          <w:p w:rsidR="002E1E07" w:rsidRPr="00B70793" w:rsidRDefault="00211B81" w:rsidP="00745DBC">
            <w:pPr>
              <w:pStyle w:val="ListParagraph"/>
              <w:numPr>
                <w:ilvl w:val="0"/>
                <w:numId w:val="2"/>
              </w:numPr>
              <w:rPr>
                <w:sz w:val="20"/>
                <w:szCs w:val="20"/>
              </w:rPr>
            </w:pPr>
            <w:r w:rsidRPr="00B70793">
              <w:rPr>
                <w:sz w:val="20"/>
                <w:szCs w:val="20"/>
              </w:rPr>
              <w:t>Fuse or breaker is damaged.</w:t>
            </w:r>
          </w:p>
        </w:tc>
      </w:tr>
      <w:tr w:rsidR="002E1E07" w:rsidTr="00745DBC">
        <w:tc>
          <w:tcPr>
            <w:tcW w:w="8990" w:type="dxa"/>
          </w:tcPr>
          <w:p w:rsidR="002E1E07" w:rsidRPr="00B70793" w:rsidRDefault="00211B81" w:rsidP="00745DBC">
            <w:pPr>
              <w:pStyle w:val="ListParagraph"/>
              <w:numPr>
                <w:ilvl w:val="0"/>
                <w:numId w:val="2"/>
              </w:numPr>
              <w:rPr>
                <w:sz w:val="20"/>
                <w:szCs w:val="20"/>
              </w:rPr>
            </w:pPr>
            <w:r w:rsidRPr="00B70793">
              <w:rPr>
                <w:sz w:val="20"/>
                <w:szCs w:val="20"/>
              </w:rPr>
              <w:t>Exit sign is damaged, missing, obstructed, or not adequately illuminated.</w:t>
            </w:r>
          </w:p>
        </w:tc>
      </w:tr>
      <w:tr w:rsidR="002E1E07" w:rsidTr="00745DBC">
        <w:tc>
          <w:tcPr>
            <w:tcW w:w="8990" w:type="dxa"/>
          </w:tcPr>
          <w:p w:rsidR="002E1E07" w:rsidRPr="00B70793" w:rsidRDefault="00211B81" w:rsidP="00745DBC">
            <w:pPr>
              <w:pStyle w:val="ListParagraph"/>
              <w:numPr>
                <w:ilvl w:val="0"/>
                <w:numId w:val="2"/>
              </w:numPr>
              <w:rPr>
                <w:sz w:val="20"/>
                <w:szCs w:val="20"/>
              </w:rPr>
            </w:pPr>
            <w:r w:rsidRPr="00B70793">
              <w:rPr>
                <w:sz w:val="20"/>
                <w:szCs w:val="20"/>
              </w:rPr>
              <w:t>Fire escape</w:t>
            </w:r>
            <w:r w:rsidR="00DD58F3" w:rsidRPr="00B70793">
              <w:rPr>
                <w:sz w:val="20"/>
                <w:szCs w:val="20"/>
              </w:rPr>
              <w:t xml:space="preserve"> component is damaged or missing</w:t>
            </w:r>
            <w:r w:rsidR="00CF6807" w:rsidRPr="00B70793">
              <w:rPr>
                <w:sz w:val="20"/>
                <w:szCs w:val="20"/>
              </w:rPr>
              <w:t xml:space="preserve"> (stair, ladder, platform, guardrail, or handrail)</w:t>
            </w:r>
          </w:p>
        </w:tc>
      </w:tr>
      <w:tr w:rsidR="002E1E07" w:rsidTr="00745DBC">
        <w:tc>
          <w:tcPr>
            <w:tcW w:w="8990" w:type="dxa"/>
          </w:tcPr>
          <w:p w:rsidR="002E1E07" w:rsidRPr="00B70793" w:rsidRDefault="00CF6807" w:rsidP="00745DBC">
            <w:pPr>
              <w:pStyle w:val="ListParagraph"/>
              <w:numPr>
                <w:ilvl w:val="0"/>
                <w:numId w:val="2"/>
              </w:numPr>
              <w:rPr>
                <w:sz w:val="20"/>
                <w:szCs w:val="20"/>
              </w:rPr>
            </w:pPr>
            <w:r w:rsidRPr="00B70793">
              <w:rPr>
                <w:sz w:val="20"/>
                <w:szCs w:val="20"/>
              </w:rPr>
              <w:t xml:space="preserve">Fire extinguisher pressure gauge reads over or under charged OR fire extinguisher service tag is missing, illegible, or expired OR fire extinguisher is damaged or missing </w:t>
            </w:r>
            <w:r w:rsidR="0093474E" w:rsidRPr="00B70793">
              <w:rPr>
                <w:sz w:val="20"/>
                <w:szCs w:val="20"/>
              </w:rPr>
              <w:t>(if evidence to show previously had fire extinguisher)</w:t>
            </w:r>
          </w:p>
        </w:tc>
      </w:tr>
      <w:tr w:rsidR="002E1E07" w:rsidTr="00745DBC">
        <w:tc>
          <w:tcPr>
            <w:tcW w:w="8990" w:type="dxa"/>
          </w:tcPr>
          <w:p w:rsidR="002E1E07" w:rsidRPr="00B70793" w:rsidRDefault="0093474E" w:rsidP="00745DBC">
            <w:pPr>
              <w:pStyle w:val="ListParagraph"/>
              <w:numPr>
                <w:ilvl w:val="0"/>
                <w:numId w:val="2"/>
              </w:numPr>
              <w:rPr>
                <w:sz w:val="20"/>
                <w:szCs w:val="20"/>
              </w:rPr>
            </w:pPr>
            <w:r w:rsidRPr="00B70793">
              <w:rPr>
                <w:sz w:val="20"/>
                <w:szCs w:val="20"/>
              </w:rPr>
              <w:t>Improperly stored flammable or combustible item on or near an ignition source.</w:t>
            </w:r>
          </w:p>
        </w:tc>
      </w:tr>
      <w:tr w:rsidR="002E1E07" w:rsidTr="00745DBC">
        <w:tc>
          <w:tcPr>
            <w:tcW w:w="8990" w:type="dxa"/>
          </w:tcPr>
          <w:p w:rsidR="002E1E07" w:rsidRPr="00B70793" w:rsidRDefault="0093474E" w:rsidP="00745DBC">
            <w:pPr>
              <w:pStyle w:val="ListParagraph"/>
              <w:numPr>
                <w:ilvl w:val="0"/>
                <w:numId w:val="2"/>
              </w:numPr>
              <w:rPr>
                <w:sz w:val="20"/>
                <w:szCs w:val="20"/>
              </w:rPr>
            </w:pPr>
            <w:r w:rsidRPr="00B70793">
              <w:rPr>
                <w:sz w:val="20"/>
                <w:szCs w:val="20"/>
              </w:rPr>
              <w:t>Guardrail missing or not installed on walking surface which is more than 30 inches above floor or grade below OR guardrail not functionally adequate (missing a functional component or damaged or less than 30 inches in height or not securely attached and cannot reasonably protect from fall hazards)</w:t>
            </w:r>
          </w:p>
        </w:tc>
      </w:tr>
      <w:tr w:rsidR="002E1E07" w:rsidTr="00745DBC">
        <w:tc>
          <w:tcPr>
            <w:tcW w:w="8990" w:type="dxa"/>
          </w:tcPr>
          <w:p w:rsidR="002E1E07" w:rsidRPr="00B70793" w:rsidRDefault="0093474E" w:rsidP="00745DBC">
            <w:pPr>
              <w:pStyle w:val="ListParagraph"/>
              <w:numPr>
                <w:ilvl w:val="0"/>
                <w:numId w:val="2"/>
              </w:numPr>
              <w:rPr>
                <w:sz w:val="20"/>
                <w:szCs w:val="20"/>
              </w:rPr>
            </w:pPr>
            <w:r w:rsidRPr="00B70793">
              <w:rPr>
                <w:sz w:val="20"/>
                <w:szCs w:val="20"/>
              </w:rPr>
              <w:t xml:space="preserve">Permanently installed heating source damaged, inoperable, missing or not installed </w:t>
            </w:r>
            <w:r w:rsidR="00E8316A" w:rsidRPr="00B70793">
              <w:rPr>
                <w:sz w:val="20"/>
                <w:szCs w:val="20"/>
              </w:rPr>
              <w:t>and outside temperature is below 68 degrees Fahrenheit</w:t>
            </w:r>
          </w:p>
        </w:tc>
      </w:tr>
      <w:tr w:rsidR="002E1E07" w:rsidTr="00745DBC">
        <w:tc>
          <w:tcPr>
            <w:tcW w:w="8990" w:type="dxa"/>
          </w:tcPr>
          <w:p w:rsidR="002E1E07" w:rsidRPr="00B70793" w:rsidRDefault="00E8316A" w:rsidP="00745DBC">
            <w:pPr>
              <w:pStyle w:val="ListParagraph"/>
              <w:numPr>
                <w:ilvl w:val="0"/>
                <w:numId w:val="2"/>
              </w:numPr>
              <w:rPr>
                <w:sz w:val="20"/>
                <w:szCs w:val="20"/>
              </w:rPr>
            </w:pPr>
            <w:r w:rsidRPr="00B70793">
              <w:rPr>
                <w:sz w:val="20"/>
                <w:szCs w:val="20"/>
              </w:rPr>
              <w:t>Smoke alarm is not installed where required (inside each sleeping area, outside each sleeping area and on each level)</w:t>
            </w:r>
          </w:p>
        </w:tc>
      </w:tr>
      <w:tr w:rsidR="002E1E07" w:rsidTr="00745DBC">
        <w:tc>
          <w:tcPr>
            <w:tcW w:w="8990" w:type="dxa"/>
          </w:tcPr>
          <w:p w:rsidR="002E1E07" w:rsidRPr="00B70793" w:rsidRDefault="00E8316A" w:rsidP="00745DBC">
            <w:pPr>
              <w:pStyle w:val="ListParagraph"/>
              <w:numPr>
                <w:ilvl w:val="0"/>
                <w:numId w:val="2"/>
              </w:numPr>
              <w:rPr>
                <w:sz w:val="20"/>
                <w:szCs w:val="20"/>
              </w:rPr>
            </w:pPr>
            <w:r w:rsidRPr="00B70793">
              <w:rPr>
                <w:sz w:val="20"/>
                <w:szCs w:val="20"/>
              </w:rPr>
              <w:t xml:space="preserve">Sprinkler head assembly is obstructed by an item, object, or encasement within 18 inches of head OR paint or foreign material on sprinkler head assembly </w:t>
            </w:r>
            <w:r w:rsidR="00C676D7" w:rsidRPr="00B70793">
              <w:rPr>
                <w:sz w:val="20"/>
                <w:szCs w:val="20"/>
              </w:rPr>
              <w:t xml:space="preserve">OR sprinkler head escutcheon is missing (ring around assembly) or concealed sprinkler cover plate assembly is missing. </w:t>
            </w:r>
          </w:p>
        </w:tc>
      </w:tr>
      <w:tr w:rsidR="002E1E07" w:rsidTr="00745DBC">
        <w:tc>
          <w:tcPr>
            <w:tcW w:w="8990" w:type="dxa"/>
          </w:tcPr>
          <w:p w:rsidR="002E1E07" w:rsidRPr="00B70793" w:rsidRDefault="00C676D7" w:rsidP="00745DBC">
            <w:pPr>
              <w:pStyle w:val="ListParagraph"/>
              <w:numPr>
                <w:ilvl w:val="0"/>
                <w:numId w:val="2"/>
              </w:numPr>
              <w:rPr>
                <w:sz w:val="20"/>
                <w:szCs w:val="20"/>
              </w:rPr>
            </w:pPr>
            <w:r w:rsidRPr="00B70793">
              <w:rPr>
                <w:sz w:val="20"/>
                <w:szCs w:val="20"/>
              </w:rPr>
              <w:t xml:space="preserve">Hot water heater </w:t>
            </w:r>
            <w:r w:rsidR="00745DBC" w:rsidRPr="00B70793">
              <w:rPr>
                <w:sz w:val="20"/>
                <w:szCs w:val="20"/>
              </w:rPr>
              <w:t>chimney</w:t>
            </w:r>
            <w:r w:rsidRPr="00B70793">
              <w:rPr>
                <w:sz w:val="20"/>
                <w:szCs w:val="20"/>
              </w:rPr>
              <w:t xml:space="preserve"> or flue piping is blocked, misaligned, or missing OR gas shutoff valve is damaged, missing or not installed. **Note: discharge line is to terminate between 6 to 2 inches from waste receptor flood-level (floor). </w:t>
            </w:r>
          </w:p>
        </w:tc>
      </w:tr>
      <w:tr w:rsidR="002E1E07" w:rsidTr="00745DBC">
        <w:tc>
          <w:tcPr>
            <w:tcW w:w="8990" w:type="dxa"/>
            <w:shd w:val="clear" w:color="auto" w:fill="7030A0"/>
          </w:tcPr>
          <w:p w:rsidR="002E1E07" w:rsidRPr="00F855FF" w:rsidRDefault="00C676D7" w:rsidP="00745DBC">
            <w:pPr>
              <w:rPr>
                <w:b/>
                <w:color w:val="FFFFFF" w:themeColor="background1"/>
                <w:sz w:val="20"/>
                <w:szCs w:val="20"/>
              </w:rPr>
            </w:pPr>
            <w:r w:rsidRPr="00F855FF">
              <w:rPr>
                <w:b/>
                <w:color w:val="FFFFFF" w:themeColor="background1"/>
                <w:sz w:val="20"/>
                <w:szCs w:val="20"/>
              </w:rPr>
              <w:t>NEW OR UPDATED FAILED INSPECTION ITEMS</w:t>
            </w:r>
          </w:p>
        </w:tc>
      </w:tr>
      <w:tr w:rsidR="002E1E07" w:rsidTr="00745DBC">
        <w:tc>
          <w:tcPr>
            <w:tcW w:w="8990" w:type="dxa"/>
          </w:tcPr>
          <w:p w:rsidR="002E1E07" w:rsidRPr="00B70793" w:rsidRDefault="00D07B04" w:rsidP="00745DBC">
            <w:pPr>
              <w:pStyle w:val="ListParagraph"/>
              <w:numPr>
                <w:ilvl w:val="0"/>
                <w:numId w:val="3"/>
              </w:numPr>
              <w:rPr>
                <w:sz w:val="20"/>
                <w:szCs w:val="20"/>
              </w:rPr>
            </w:pPr>
            <w:r w:rsidRPr="00B70793">
              <w:rPr>
                <w:sz w:val="20"/>
                <w:szCs w:val="20"/>
              </w:rPr>
              <w:t xml:space="preserve">Infestation in addition to roach, bed bug, and rodent to include but not limited to ants, wasps, or beehives, squirrels, birds, and bats in an interior area. </w:t>
            </w:r>
          </w:p>
        </w:tc>
      </w:tr>
      <w:tr w:rsidR="002E1E07" w:rsidTr="00745DBC">
        <w:tc>
          <w:tcPr>
            <w:tcW w:w="8990" w:type="dxa"/>
          </w:tcPr>
          <w:p w:rsidR="00D07B04" w:rsidRPr="00B70793" w:rsidRDefault="00D07B04" w:rsidP="00745DBC">
            <w:pPr>
              <w:pStyle w:val="ListParagraph"/>
              <w:numPr>
                <w:ilvl w:val="0"/>
                <w:numId w:val="3"/>
              </w:numPr>
              <w:rPr>
                <w:sz w:val="20"/>
                <w:szCs w:val="20"/>
              </w:rPr>
            </w:pPr>
            <w:r w:rsidRPr="00B70793">
              <w:rPr>
                <w:sz w:val="20"/>
                <w:szCs w:val="20"/>
              </w:rPr>
              <w:t xml:space="preserve">Mold-like substance: *patches of mold-like substance less than 1 </w:t>
            </w:r>
            <w:r w:rsidR="00745DBC">
              <w:rPr>
                <w:sz w:val="20"/>
                <w:szCs w:val="20"/>
              </w:rPr>
              <w:t>Sq.</w:t>
            </w:r>
            <w:r w:rsidR="00745DBC" w:rsidRPr="00B70793">
              <w:rPr>
                <w:sz w:val="20"/>
                <w:szCs w:val="20"/>
              </w:rPr>
              <w:t xml:space="preserve"> </w:t>
            </w:r>
            <w:r w:rsidRPr="00B70793">
              <w:rPr>
                <w:sz w:val="20"/>
                <w:szCs w:val="20"/>
              </w:rPr>
              <w:t>feet will pass;</w:t>
            </w:r>
          </w:p>
          <w:p w:rsidR="00D07B04" w:rsidRPr="00B70793" w:rsidRDefault="00D07B04" w:rsidP="00745DBC">
            <w:pPr>
              <w:pStyle w:val="ListParagraph"/>
              <w:rPr>
                <w:sz w:val="20"/>
                <w:szCs w:val="20"/>
              </w:rPr>
            </w:pPr>
            <w:r w:rsidRPr="00B70793">
              <w:rPr>
                <w:sz w:val="20"/>
                <w:szCs w:val="20"/>
              </w:rPr>
              <w:t xml:space="preserve">*Cumulative area of patches less than 1 </w:t>
            </w:r>
            <w:r w:rsidR="00745DBC">
              <w:rPr>
                <w:sz w:val="20"/>
                <w:szCs w:val="20"/>
              </w:rPr>
              <w:t>Sq.</w:t>
            </w:r>
            <w:r w:rsidRPr="00B70793">
              <w:rPr>
                <w:sz w:val="20"/>
                <w:szCs w:val="20"/>
              </w:rPr>
              <w:t xml:space="preserve"> foot and greater than 9 </w:t>
            </w:r>
            <w:r w:rsidR="00745DBC">
              <w:rPr>
                <w:sz w:val="20"/>
                <w:szCs w:val="20"/>
              </w:rPr>
              <w:t>Sq.</w:t>
            </w:r>
            <w:r w:rsidR="00745DBC" w:rsidRPr="00B70793">
              <w:rPr>
                <w:sz w:val="20"/>
                <w:szCs w:val="20"/>
              </w:rPr>
              <w:t xml:space="preserve"> </w:t>
            </w:r>
            <w:r w:rsidRPr="00B70793">
              <w:rPr>
                <w:sz w:val="20"/>
                <w:szCs w:val="20"/>
              </w:rPr>
              <w:t>feet in a room is a 30 day correction;</w:t>
            </w:r>
          </w:p>
          <w:p w:rsidR="00D57974" w:rsidRPr="00B70793" w:rsidRDefault="00D57974" w:rsidP="00745DBC">
            <w:pPr>
              <w:pStyle w:val="ListParagraph"/>
              <w:rPr>
                <w:sz w:val="20"/>
                <w:szCs w:val="20"/>
              </w:rPr>
            </w:pPr>
            <w:r w:rsidRPr="00B70793">
              <w:rPr>
                <w:sz w:val="20"/>
                <w:szCs w:val="20"/>
              </w:rPr>
              <w:t xml:space="preserve">** Cumulative area of patches less than 9 </w:t>
            </w:r>
            <w:r w:rsidR="00745DBC">
              <w:rPr>
                <w:sz w:val="20"/>
                <w:szCs w:val="20"/>
              </w:rPr>
              <w:t>Sq.</w:t>
            </w:r>
            <w:r w:rsidRPr="00B70793">
              <w:rPr>
                <w:sz w:val="20"/>
                <w:szCs w:val="20"/>
              </w:rPr>
              <w:t xml:space="preserve"> feet in a room in the UNIT is a 24-hour correction.</w:t>
            </w:r>
          </w:p>
        </w:tc>
      </w:tr>
      <w:tr w:rsidR="002E1E07" w:rsidTr="00745DBC">
        <w:tc>
          <w:tcPr>
            <w:tcW w:w="8990" w:type="dxa"/>
          </w:tcPr>
          <w:p w:rsidR="002E1E07" w:rsidRPr="00B70793" w:rsidRDefault="009B5DA3" w:rsidP="00745DBC">
            <w:pPr>
              <w:pStyle w:val="ListParagraph"/>
              <w:numPr>
                <w:ilvl w:val="0"/>
                <w:numId w:val="3"/>
              </w:numPr>
              <w:rPr>
                <w:sz w:val="20"/>
                <w:szCs w:val="20"/>
              </w:rPr>
            </w:pPr>
            <w:r>
              <w:rPr>
                <w:sz w:val="20"/>
                <w:szCs w:val="20"/>
              </w:rPr>
              <w:t>Parking lo</w:t>
            </w:r>
            <w:r w:rsidR="00D57974" w:rsidRPr="00B70793">
              <w:rPr>
                <w:sz w:val="20"/>
                <w:szCs w:val="20"/>
              </w:rPr>
              <w:t xml:space="preserve">gs: *Fail for pothole less than 4 inches deep and 144 </w:t>
            </w:r>
            <w:r w:rsidR="00745DBC">
              <w:rPr>
                <w:sz w:val="20"/>
                <w:szCs w:val="20"/>
              </w:rPr>
              <w:t>Sq.</w:t>
            </w:r>
            <w:r w:rsidR="00D57974" w:rsidRPr="00B70793">
              <w:rPr>
                <w:sz w:val="20"/>
                <w:szCs w:val="20"/>
              </w:rPr>
              <w:t xml:space="preserve"> inches or any number of potholes taken cumulatively are less than 4 inches deep</w:t>
            </w:r>
            <w:r w:rsidR="00B70793" w:rsidRPr="00B70793">
              <w:rPr>
                <w:sz w:val="20"/>
                <w:szCs w:val="20"/>
              </w:rPr>
              <w:t xml:space="preserve"> and 144 </w:t>
            </w:r>
            <w:r w:rsidR="00745DBC">
              <w:rPr>
                <w:sz w:val="20"/>
                <w:szCs w:val="20"/>
              </w:rPr>
              <w:t>Sq.</w:t>
            </w:r>
            <w:r w:rsidR="00B70793" w:rsidRPr="00B70793">
              <w:rPr>
                <w:sz w:val="20"/>
                <w:szCs w:val="20"/>
              </w:rPr>
              <w:t xml:space="preserve"> inches.</w:t>
            </w:r>
          </w:p>
          <w:p w:rsidR="00B70793" w:rsidRPr="00B70793" w:rsidRDefault="00B70793" w:rsidP="00745DBC">
            <w:pPr>
              <w:pStyle w:val="ListParagraph"/>
              <w:rPr>
                <w:sz w:val="20"/>
                <w:szCs w:val="20"/>
              </w:rPr>
            </w:pPr>
            <w:r w:rsidRPr="00B70793">
              <w:rPr>
                <w:sz w:val="20"/>
                <w:szCs w:val="20"/>
              </w:rPr>
              <w:t>**More than 3 inches of water accumulated in parking lot and 5% or more of lot is unusable.</w:t>
            </w:r>
          </w:p>
        </w:tc>
      </w:tr>
      <w:tr w:rsidR="002E1E07" w:rsidTr="00745DBC">
        <w:tc>
          <w:tcPr>
            <w:tcW w:w="8990" w:type="dxa"/>
          </w:tcPr>
          <w:p w:rsidR="002E1E07" w:rsidRPr="00B70793" w:rsidRDefault="00B70793" w:rsidP="00745DBC">
            <w:pPr>
              <w:pStyle w:val="ListParagraph"/>
              <w:numPr>
                <w:ilvl w:val="0"/>
                <w:numId w:val="3"/>
              </w:numPr>
              <w:rPr>
                <w:sz w:val="20"/>
                <w:szCs w:val="20"/>
              </w:rPr>
            </w:pPr>
            <w:r w:rsidRPr="00B70793">
              <w:rPr>
                <w:sz w:val="20"/>
                <w:szCs w:val="20"/>
              </w:rPr>
              <w:t xml:space="preserve">Private roads and driveways: *Road or driveway access to property is blocked or impassable for vehicles; **Road or driveway has potholes less than 4 inches deep and 144 </w:t>
            </w:r>
            <w:r w:rsidR="00745DBC">
              <w:rPr>
                <w:sz w:val="20"/>
                <w:szCs w:val="20"/>
              </w:rPr>
              <w:t>Sq.</w:t>
            </w:r>
            <w:r w:rsidRPr="00B70793">
              <w:rPr>
                <w:sz w:val="20"/>
                <w:szCs w:val="20"/>
              </w:rPr>
              <w:t xml:space="preserve"> inches wide.</w:t>
            </w:r>
          </w:p>
        </w:tc>
      </w:tr>
      <w:tr w:rsidR="002E1E07" w:rsidTr="00745DBC">
        <w:tc>
          <w:tcPr>
            <w:tcW w:w="8990" w:type="dxa"/>
          </w:tcPr>
          <w:p w:rsidR="002E1E07" w:rsidRPr="00B70793" w:rsidRDefault="00B70793" w:rsidP="00745DBC">
            <w:pPr>
              <w:pStyle w:val="ListParagraph"/>
              <w:numPr>
                <w:ilvl w:val="0"/>
                <w:numId w:val="3"/>
              </w:numPr>
              <w:rPr>
                <w:sz w:val="20"/>
                <w:szCs w:val="20"/>
              </w:rPr>
            </w:pPr>
            <w:r w:rsidRPr="00B70793">
              <w:rPr>
                <w:sz w:val="20"/>
                <w:szCs w:val="20"/>
              </w:rPr>
              <w:t xml:space="preserve">Sidewalk, walkway, or ramp is blocked or impassable, includes overgrown vegetation. </w:t>
            </w:r>
          </w:p>
        </w:tc>
      </w:tr>
    </w:tbl>
    <w:p w:rsidR="0016252A" w:rsidRDefault="0016252A" w:rsidP="0016252A">
      <w:pPr>
        <w:ind w:left="360"/>
      </w:pPr>
    </w:p>
    <w:sectPr w:rsidR="001625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455" w:rsidRDefault="006C1455" w:rsidP="00745DBC">
      <w:pPr>
        <w:spacing w:after="0" w:line="240" w:lineRule="auto"/>
      </w:pPr>
      <w:r>
        <w:separator/>
      </w:r>
    </w:p>
  </w:endnote>
  <w:endnote w:type="continuationSeparator" w:id="0">
    <w:p w:rsidR="006C1455" w:rsidRDefault="006C1455" w:rsidP="00745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455" w:rsidRDefault="006C1455" w:rsidP="00745DBC">
      <w:pPr>
        <w:spacing w:after="0" w:line="240" w:lineRule="auto"/>
      </w:pPr>
      <w:r>
        <w:separator/>
      </w:r>
    </w:p>
  </w:footnote>
  <w:footnote w:type="continuationSeparator" w:id="0">
    <w:p w:rsidR="006C1455" w:rsidRDefault="006C1455" w:rsidP="00745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DBC" w:rsidRPr="00745DBC" w:rsidRDefault="00745DBC" w:rsidP="00745DBC">
    <w:pPr>
      <w:pStyle w:val="Header"/>
      <w:jc w:val="center"/>
      <w:rPr>
        <w:rFonts w:asciiTheme="majorHAnsi" w:hAnsiTheme="majorHAnsi" w:cstheme="majorHAnsi"/>
        <w:sz w:val="16"/>
        <w:szCs w:val="16"/>
      </w:rPr>
    </w:pPr>
    <w:r w:rsidRPr="00745DBC">
      <w:rPr>
        <w:rFonts w:asciiTheme="majorHAnsi" w:hAnsiTheme="majorHAnsi" w:cstheme="majorHAnsi"/>
        <w:noProof/>
        <w:sz w:val="16"/>
        <w:szCs w:val="16"/>
      </w:rPr>
      <w:drawing>
        <wp:anchor distT="0" distB="0" distL="114300" distR="114300" simplePos="0" relativeHeight="251659264" behindDoc="1" locked="0" layoutInCell="1" allowOverlap="1" wp14:anchorId="4AE8ACA1" wp14:editId="5B336937">
          <wp:simplePos x="0" y="0"/>
          <wp:positionH relativeFrom="page">
            <wp:align>center</wp:align>
          </wp:positionH>
          <wp:positionV relativeFrom="page">
            <wp:posOffset>85725</wp:posOffset>
          </wp:positionV>
          <wp:extent cx="2469159" cy="1124712"/>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159" cy="1124712"/>
                  </a:xfrm>
                  <a:prstGeom prst="rect">
                    <a:avLst/>
                  </a:prstGeom>
                </pic:spPr>
              </pic:pic>
            </a:graphicData>
          </a:graphic>
          <wp14:sizeRelH relativeFrom="margin">
            <wp14:pctWidth>0</wp14:pctWidth>
          </wp14:sizeRelH>
          <wp14:sizeRelV relativeFrom="margin">
            <wp14:pctHeight>0</wp14:pctHeight>
          </wp14:sizeRelV>
        </wp:anchor>
      </w:drawing>
    </w:r>
    <w:r w:rsidRPr="00745DBC">
      <w:rPr>
        <w:rFonts w:asciiTheme="majorHAnsi" w:hAnsiTheme="majorHAnsi" w:cstheme="majorHAnsi"/>
        <w:sz w:val="16"/>
        <w:szCs w:val="16"/>
      </w:rPr>
      <w:t>140 E. 12</w:t>
    </w:r>
    <w:r w:rsidRPr="00745DBC">
      <w:rPr>
        <w:rFonts w:asciiTheme="majorHAnsi" w:hAnsiTheme="majorHAnsi" w:cstheme="majorHAnsi"/>
        <w:sz w:val="16"/>
        <w:szCs w:val="16"/>
        <w:vertAlign w:val="superscript"/>
      </w:rPr>
      <w:t>TH</w:t>
    </w:r>
    <w:r w:rsidRPr="00745DBC">
      <w:rPr>
        <w:rFonts w:asciiTheme="majorHAnsi" w:hAnsiTheme="majorHAnsi" w:cstheme="majorHAnsi"/>
        <w:sz w:val="16"/>
        <w:szCs w:val="16"/>
      </w:rPr>
      <w:t xml:space="preserve"> Street, Suite B</w:t>
    </w:r>
    <w:r w:rsidRPr="00745DBC">
      <w:rPr>
        <w:rFonts w:asciiTheme="majorHAnsi" w:hAnsiTheme="majorHAnsi" w:cstheme="majorHAnsi"/>
        <w:sz w:val="16"/>
        <w:szCs w:val="16"/>
      </w:rPr>
      <w:tab/>
    </w:r>
    <w:r w:rsidRPr="00745DBC">
      <w:rPr>
        <w:rFonts w:asciiTheme="majorHAnsi" w:hAnsiTheme="majorHAnsi" w:cstheme="majorHAnsi"/>
        <w:sz w:val="16"/>
        <w:szCs w:val="16"/>
      </w:rPr>
      <w:tab/>
      <w:t>PH (619) 336-4254</w:t>
    </w:r>
  </w:p>
  <w:p w:rsidR="00745DBC" w:rsidRPr="00745DBC" w:rsidRDefault="00745DBC" w:rsidP="00745DBC">
    <w:pPr>
      <w:pStyle w:val="Header"/>
      <w:jc w:val="center"/>
      <w:rPr>
        <w:rFonts w:asciiTheme="majorHAnsi" w:hAnsiTheme="majorHAnsi" w:cstheme="majorHAnsi"/>
        <w:sz w:val="16"/>
        <w:szCs w:val="16"/>
      </w:rPr>
    </w:pPr>
    <w:r w:rsidRPr="00745DBC">
      <w:rPr>
        <w:rFonts w:asciiTheme="majorHAnsi" w:hAnsiTheme="majorHAnsi" w:cstheme="majorHAnsi"/>
        <w:sz w:val="16"/>
        <w:szCs w:val="16"/>
      </w:rPr>
      <w:t>National City, CA 91950-3312</w:t>
    </w:r>
    <w:r w:rsidRPr="00745DBC">
      <w:rPr>
        <w:rFonts w:asciiTheme="majorHAnsi" w:hAnsiTheme="majorHAnsi" w:cstheme="majorHAnsi"/>
        <w:sz w:val="16"/>
        <w:szCs w:val="16"/>
      </w:rPr>
      <w:tab/>
    </w:r>
    <w:r w:rsidRPr="00745DBC">
      <w:rPr>
        <w:rFonts w:asciiTheme="majorHAnsi" w:hAnsiTheme="majorHAnsi" w:cstheme="majorHAnsi"/>
        <w:sz w:val="16"/>
        <w:szCs w:val="16"/>
      </w:rPr>
      <w:tab/>
      <w:t>FX (619) 477-3747</w:t>
    </w:r>
  </w:p>
  <w:p w:rsidR="00745DBC" w:rsidRPr="00745DBC" w:rsidRDefault="00745DBC" w:rsidP="00745DBC">
    <w:pPr>
      <w:pStyle w:val="Header"/>
      <w:jc w:val="center"/>
      <w:rPr>
        <w:rFonts w:asciiTheme="majorHAnsi" w:hAnsiTheme="majorHAnsi" w:cstheme="majorHAnsi"/>
        <w:sz w:val="16"/>
        <w:szCs w:val="16"/>
      </w:rPr>
    </w:pPr>
    <w:r>
      <w:rPr>
        <w:rFonts w:asciiTheme="majorHAnsi" w:hAnsiTheme="majorHAnsi" w:cstheme="majorHAnsi"/>
        <w:sz w:val="16"/>
        <w:szCs w:val="16"/>
      </w:rPr>
      <w:tab/>
    </w:r>
    <w:r>
      <w:rPr>
        <w:rFonts w:asciiTheme="majorHAnsi" w:hAnsiTheme="majorHAnsi" w:cstheme="majorHAnsi"/>
        <w:sz w:val="16"/>
        <w:szCs w:val="16"/>
      </w:rPr>
      <w:tab/>
    </w:r>
    <w:r w:rsidRPr="00745DBC">
      <w:rPr>
        <w:rFonts w:asciiTheme="majorHAnsi" w:hAnsiTheme="majorHAnsi" w:cstheme="majorHAnsi"/>
        <w:sz w:val="16"/>
        <w:szCs w:val="16"/>
      </w:rPr>
      <w:t>Section8@nationalcityca.gov</w:t>
    </w:r>
  </w:p>
  <w:p w:rsidR="00745DBC" w:rsidRPr="00745DBC" w:rsidRDefault="00745DBC" w:rsidP="00745DBC">
    <w:pPr>
      <w:pStyle w:val="Header"/>
      <w:jc w:val="center"/>
      <w:rPr>
        <w:sz w:val="16"/>
        <w:szCs w:val="16"/>
      </w:rPr>
    </w:pPr>
  </w:p>
  <w:p w:rsidR="00745DBC" w:rsidRDefault="00745DBC" w:rsidP="00745DBC">
    <w:pPr>
      <w:pStyle w:val="Header"/>
      <w:jc w:val="center"/>
    </w:pPr>
  </w:p>
  <w:p w:rsidR="00745DBC" w:rsidRDefault="00745DBC" w:rsidP="00745DBC">
    <w:pPr>
      <w:pStyle w:val="Heading2"/>
      <w:spacing w:before="0"/>
      <w:jc w:val="center"/>
      <w:rPr>
        <w:sz w:val="16"/>
        <w:szCs w:val="16"/>
      </w:rPr>
    </w:pPr>
  </w:p>
  <w:p w:rsidR="00745DBC" w:rsidRPr="004C6C39" w:rsidRDefault="00745DBC" w:rsidP="00745DBC">
    <w:pPr>
      <w:pStyle w:val="Heading2"/>
      <w:spacing w:before="0"/>
      <w:jc w:val="center"/>
      <w:rPr>
        <w:sz w:val="16"/>
        <w:szCs w:val="16"/>
      </w:rPr>
    </w:pPr>
    <w:r w:rsidRPr="004C6C39">
      <w:rPr>
        <w:sz w:val="16"/>
        <w:szCs w:val="16"/>
      </w:rPr>
      <w:t>Housing Authority of the City of National City</w:t>
    </w:r>
  </w:p>
  <w:p w:rsidR="00745DBC" w:rsidRPr="00745DBC" w:rsidRDefault="00745DBC" w:rsidP="00745DBC">
    <w:pPr>
      <w:pStyle w:val="Heading2"/>
      <w:spacing w:before="0"/>
      <w:jc w:val="center"/>
      <w:rPr>
        <w:sz w:val="16"/>
      </w:rPr>
    </w:pPr>
    <w:r w:rsidRPr="004C6C39">
      <w:rPr>
        <w:sz w:val="16"/>
      </w:rPr>
      <w:t>Housing Choice Voucher Program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35D3"/>
    <w:multiLevelType w:val="hybridMultilevel"/>
    <w:tmpl w:val="4960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63201"/>
    <w:multiLevelType w:val="hybridMultilevel"/>
    <w:tmpl w:val="0B006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84C7F"/>
    <w:multiLevelType w:val="hybridMultilevel"/>
    <w:tmpl w:val="AE2E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4D"/>
    <w:rsid w:val="000846C2"/>
    <w:rsid w:val="000E3522"/>
    <w:rsid w:val="00107FF3"/>
    <w:rsid w:val="0016252A"/>
    <w:rsid w:val="00211B81"/>
    <w:rsid w:val="002E1E07"/>
    <w:rsid w:val="004178CC"/>
    <w:rsid w:val="004C7E9D"/>
    <w:rsid w:val="005D3415"/>
    <w:rsid w:val="006C1455"/>
    <w:rsid w:val="006D2432"/>
    <w:rsid w:val="00745DBC"/>
    <w:rsid w:val="007514B9"/>
    <w:rsid w:val="0093474E"/>
    <w:rsid w:val="009B5DA3"/>
    <w:rsid w:val="009C7D0E"/>
    <w:rsid w:val="00AA2DC7"/>
    <w:rsid w:val="00B70793"/>
    <w:rsid w:val="00C33133"/>
    <w:rsid w:val="00C676D7"/>
    <w:rsid w:val="00CA3D4D"/>
    <w:rsid w:val="00CD2534"/>
    <w:rsid w:val="00CF6807"/>
    <w:rsid w:val="00D07B04"/>
    <w:rsid w:val="00D57974"/>
    <w:rsid w:val="00D710E0"/>
    <w:rsid w:val="00DD58F3"/>
    <w:rsid w:val="00E24A8C"/>
    <w:rsid w:val="00E8316A"/>
    <w:rsid w:val="00F337AA"/>
    <w:rsid w:val="00F855FF"/>
    <w:rsid w:val="00FF7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9500A-1A08-438F-8694-80F998A8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534"/>
  </w:style>
  <w:style w:type="paragraph" w:styleId="Heading1">
    <w:name w:val="heading 1"/>
    <w:basedOn w:val="Normal"/>
    <w:next w:val="Normal"/>
    <w:link w:val="Heading1Char"/>
    <w:uiPriority w:val="9"/>
    <w:qFormat/>
    <w:rsid w:val="00CD2534"/>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CD2534"/>
    <w:pPr>
      <w:keepNext/>
      <w:keepLines/>
      <w:spacing w:before="40" w:after="0"/>
      <w:outlineLvl w:val="1"/>
    </w:pPr>
    <w:rPr>
      <w:rFonts w:asciiTheme="majorHAnsi" w:eastAsiaTheme="majorEastAsia" w:hAnsiTheme="majorHAnsi" w:cstheme="majorBidi"/>
      <w:sz w:val="20"/>
      <w:szCs w:val="26"/>
    </w:rPr>
  </w:style>
  <w:style w:type="paragraph" w:styleId="Heading3">
    <w:name w:val="heading 3"/>
    <w:basedOn w:val="Normal"/>
    <w:next w:val="Normal"/>
    <w:link w:val="Heading3Char"/>
    <w:uiPriority w:val="9"/>
    <w:unhideWhenUsed/>
    <w:qFormat/>
    <w:rsid w:val="00CD2534"/>
    <w:pPr>
      <w:keepNext/>
      <w:keepLines/>
      <w:spacing w:before="40" w:after="0"/>
      <w:outlineLvl w:val="2"/>
    </w:pPr>
    <w:rPr>
      <w:rFonts w:asciiTheme="majorHAnsi" w:eastAsiaTheme="majorEastAsia" w:hAnsiTheme="majorHAnsi" w:cstheme="majorBid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2534"/>
    <w:rPr>
      <w:rFonts w:asciiTheme="majorHAnsi" w:eastAsiaTheme="majorEastAsia" w:hAnsiTheme="majorHAnsi" w:cstheme="majorBidi"/>
      <w:sz w:val="20"/>
      <w:szCs w:val="24"/>
    </w:rPr>
  </w:style>
  <w:style w:type="character" w:customStyle="1" w:styleId="Heading1Char">
    <w:name w:val="Heading 1 Char"/>
    <w:basedOn w:val="DefaultParagraphFont"/>
    <w:link w:val="Heading1"/>
    <w:uiPriority w:val="9"/>
    <w:rsid w:val="00CD2534"/>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CD2534"/>
    <w:rPr>
      <w:rFonts w:asciiTheme="majorHAnsi" w:eastAsiaTheme="majorEastAsia" w:hAnsiTheme="majorHAnsi" w:cstheme="majorBidi"/>
      <w:sz w:val="20"/>
      <w:szCs w:val="26"/>
    </w:rPr>
  </w:style>
  <w:style w:type="paragraph" w:styleId="ListParagraph">
    <w:name w:val="List Paragraph"/>
    <w:basedOn w:val="Normal"/>
    <w:uiPriority w:val="34"/>
    <w:qFormat/>
    <w:rsid w:val="00CD2534"/>
    <w:pPr>
      <w:ind w:left="720"/>
      <w:contextualSpacing/>
    </w:pPr>
  </w:style>
  <w:style w:type="character" w:styleId="Hyperlink">
    <w:name w:val="Hyperlink"/>
    <w:basedOn w:val="DefaultParagraphFont"/>
    <w:uiPriority w:val="99"/>
    <w:unhideWhenUsed/>
    <w:rsid w:val="0016252A"/>
    <w:rPr>
      <w:color w:val="0563C1" w:themeColor="hyperlink"/>
      <w:u w:val="single"/>
    </w:rPr>
  </w:style>
  <w:style w:type="character" w:styleId="FollowedHyperlink">
    <w:name w:val="FollowedHyperlink"/>
    <w:basedOn w:val="DefaultParagraphFont"/>
    <w:uiPriority w:val="99"/>
    <w:semiHidden/>
    <w:unhideWhenUsed/>
    <w:rsid w:val="0016252A"/>
    <w:rPr>
      <w:color w:val="954F72" w:themeColor="followedHyperlink"/>
      <w:u w:val="single"/>
    </w:rPr>
  </w:style>
  <w:style w:type="table" w:styleId="TableGrid">
    <w:name w:val="Table Grid"/>
    <w:basedOn w:val="TableNormal"/>
    <w:uiPriority w:val="39"/>
    <w:rsid w:val="002E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5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5FF"/>
    <w:rPr>
      <w:rFonts w:ascii="Segoe UI" w:hAnsi="Segoe UI" w:cs="Segoe UI"/>
      <w:sz w:val="18"/>
      <w:szCs w:val="18"/>
    </w:rPr>
  </w:style>
  <w:style w:type="paragraph" w:styleId="Header">
    <w:name w:val="header"/>
    <w:basedOn w:val="Normal"/>
    <w:link w:val="HeaderChar"/>
    <w:uiPriority w:val="99"/>
    <w:unhideWhenUsed/>
    <w:rsid w:val="00745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BC"/>
  </w:style>
  <w:style w:type="paragraph" w:styleId="Footer">
    <w:name w:val="footer"/>
    <w:basedOn w:val="Normal"/>
    <w:link w:val="FooterChar"/>
    <w:uiPriority w:val="99"/>
    <w:unhideWhenUsed/>
    <w:rsid w:val="00745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d.gov/program_offices/public_indian_housing/reac/nspire/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5033</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Gonzalez</dc:creator>
  <cp:keywords/>
  <dc:description/>
  <cp:lastModifiedBy>Daniel Gonzalez</cp:lastModifiedBy>
  <cp:revision>3</cp:revision>
  <cp:lastPrinted>2024-04-04T16:06:00Z</cp:lastPrinted>
  <dcterms:created xsi:type="dcterms:W3CDTF">2024-04-04T16:53:00Z</dcterms:created>
  <dcterms:modified xsi:type="dcterms:W3CDTF">2024-04-04T17:00:00Z</dcterms:modified>
</cp:coreProperties>
</file>